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F5E54" w14:textId="77777777" w:rsidR="00684515" w:rsidRPr="00335082" w:rsidRDefault="00684515" w:rsidP="00F4770B">
      <w:pPr>
        <w:jc w:val="both"/>
        <w:rPr>
          <w:rFonts w:asciiTheme="majorHAnsi" w:hAnsiTheme="majorHAnsi"/>
        </w:rPr>
      </w:pPr>
      <w:r w:rsidRPr="00335082">
        <w:rPr>
          <w:rFonts w:asciiTheme="majorHAnsi" w:hAnsiTheme="majorHAnsi"/>
        </w:rPr>
        <w:t xml:space="preserve">Cara comunità </w:t>
      </w:r>
      <w:proofErr w:type="spellStart"/>
      <w:r w:rsidRPr="00335082">
        <w:rPr>
          <w:rFonts w:asciiTheme="majorHAnsi" w:hAnsiTheme="majorHAnsi"/>
        </w:rPr>
        <w:t>Duchenne</w:t>
      </w:r>
      <w:proofErr w:type="spellEnd"/>
      <w:r w:rsidRPr="00335082">
        <w:rPr>
          <w:rFonts w:asciiTheme="majorHAnsi" w:hAnsiTheme="majorHAnsi"/>
        </w:rPr>
        <w:t xml:space="preserve">, </w:t>
      </w:r>
    </w:p>
    <w:p w14:paraId="18526CB3" w14:textId="77777777" w:rsidR="00684515" w:rsidRPr="00335082" w:rsidRDefault="00684515" w:rsidP="00F4770B">
      <w:pPr>
        <w:jc w:val="both"/>
        <w:rPr>
          <w:rFonts w:asciiTheme="majorHAnsi" w:hAnsiTheme="majorHAnsi"/>
        </w:rPr>
      </w:pPr>
      <w:proofErr w:type="gramStart"/>
      <w:r w:rsidRPr="00335082">
        <w:rPr>
          <w:rFonts w:asciiTheme="majorHAnsi" w:hAnsiTheme="majorHAnsi"/>
        </w:rPr>
        <w:t>questa</w:t>
      </w:r>
      <w:proofErr w:type="gramEnd"/>
      <w:r w:rsidRPr="00335082">
        <w:rPr>
          <w:rFonts w:asciiTheme="majorHAnsi" w:hAnsiTheme="majorHAnsi"/>
        </w:rPr>
        <w:t xml:space="preserve"> mattina abbiamo </w:t>
      </w:r>
      <w:r w:rsidR="00AA1F00" w:rsidRPr="00335082">
        <w:rPr>
          <w:rFonts w:asciiTheme="majorHAnsi" w:hAnsiTheme="majorHAnsi"/>
        </w:rPr>
        <w:t>diffuso</w:t>
      </w:r>
      <w:r w:rsidRPr="00335082">
        <w:rPr>
          <w:rFonts w:asciiTheme="majorHAnsi" w:hAnsiTheme="majorHAnsi"/>
        </w:rPr>
        <w:t xml:space="preserve"> un comunicato stampa che fornisce un aggiornamento commerciale e che include un aggiornamento sulla somministrazione nello studio </w:t>
      </w:r>
      <w:r w:rsidR="00826839" w:rsidRPr="00335082">
        <w:rPr>
          <w:rFonts w:asciiTheme="majorHAnsi" w:hAnsiTheme="majorHAnsi"/>
        </w:rPr>
        <w:t xml:space="preserve">clinico </w:t>
      </w:r>
      <w:r w:rsidRPr="00335082">
        <w:rPr>
          <w:rFonts w:asciiTheme="majorHAnsi" w:hAnsiTheme="majorHAnsi"/>
        </w:rPr>
        <w:t xml:space="preserve">di fase 1/2 IGNITE DMD e dati </w:t>
      </w:r>
      <w:r w:rsidR="00826839" w:rsidRPr="00335082">
        <w:rPr>
          <w:rFonts w:asciiTheme="majorHAnsi" w:hAnsiTheme="majorHAnsi"/>
        </w:rPr>
        <w:t xml:space="preserve">promettenti </w:t>
      </w:r>
      <w:r w:rsidR="00A33A44" w:rsidRPr="00335082">
        <w:rPr>
          <w:rFonts w:asciiTheme="majorHAnsi" w:hAnsiTheme="majorHAnsi"/>
        </w:rPr>
        <w:t xml:space="preserve">sulle biopsie </w:t>
      </w:r>
      <w:r w:rsidRPr="00335082">
        <w:rPr>
          <w:rFonts w:asciiTheme="majorHAnsi" w:hAnsiTheme="majorHAnsi"/>
        </w:rPr>
        <w:t>a lungo termine provenienti dai p</w:t>
      </w:r>
      <w:r w:rsidR="00AA1F00" w:rsidRPr="00335082">
        <w:rPr>
          <w:rFonts w:asciiTheme="majorHAnsi" w:hAnsiTheme="majorHAnsi"/>
        </w:rPr>
        <w:t>a</w:t>
      </w:r>
      <w:r w:rsidRPr="00335082">
        <w:rPr>
          <w:rFonts w:asciiTheme="majorHAnsi" w:hAnsiTheme="majorHAnsi"/>
        </w:rPr>
        <w:t>zi</w:t>
      </w:r>
      <w:r w:rsidR="00AA1F00" w:rsidRPr="00335082">
        <w:rPr>
          <w:rFonts w:asciiTheme="majorHAnsi" w:hAnsiTheme="majorHAnsi"/>
        </w:rPr>
        <w:t>enti precedentemente trattati co</w:t>
      </w:r>
      <w:r w:rsidRPr="00335082">
        <w:rPr>
          <w:rFonts w:asciiTheme="majorHAnsi" w:hAnsiTheme="majorHAnsi"/>
        </w:rPr>
        <w:t>n SGT-001 nel sottogruppo a dose elevat</w:t>
      </w:r>
      <w:r w:rsidR="00826839" w:rsidRPr="00335082">
        <w:rPr>
          <w:rFonts w:asciiTheme="majorHAnsi" w:hAnsiTheme="majorHAnsi"/>
        </w:rPr>
        <w:t>a</w:t>
      </w:r>
      <w:r w:rsidRPr="00335082">
        <w:rPr>
          <w:rFonts w:asciiTheme="majorHAnsi" w:hAnsiTheme="majorHAnsi"/>
        </w:rPr>
        <w:t xml:space="preserve"> di 2E14vg/kg. Abbiamo inoltre annunciato l’avanzamento di un programma di terapia genica </w:t>
      </w:r>
      <w:proofErr w:type="gramStart"/>
      <w:r w:rsidRPr="00335082">
        <w:rPr>
          <w:rFonts w:asciiTheme="majorHAnsi" w:hAnsiTheme="majorHAnsi"/>
        </w:rPr>
        <w:t>di</w:t>
      </w:r>
      <w:proofErr w:type="gramEnd"/>
      <w:r w:rsidRPr="00335082">
        <w:rPr>
          <w:rFonts w:asciiTheme="majorHAnsi" w:hAnsiTheme="majorHAnsi"/>
        </w:rPr>
        <w:t xml:space="preserve"> nuova generazione per la </w:t>
      </w:r>
      <w:proofErr w:type="spellStart"/>
      <w:r w:rsidRPr="00335082">
        <w:rPr>
          <w:rFonts w:asciiTheme="majorHAnsi" w:hAnsiTheme="majorHAnsi"/>
        </w:rPr>
        <w:t>Duchenne</w:t>
      </w:r>
      <w:proofErr w:type="spellEnd"/>
      <w:r w:rsidRPr="00335082">
        <w:rPr>
          <w:rFonts w:asciiTheme="majorHAnsi" w:hAnsiTheme="majorHAnsi"/>
        </w:rPr>
        <w:t xml:space="preserve">. </w:t>
      </w:r>
    </w:p>
    <w:p w14:paraId="2D20BAA3" w14:textId="77777777" w:rsidR="00684515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Aggiornamento sullo studio clinico IGNITE DMD</w:t>
      </w:r>
    </w:p>
    <w:p w14:paraId="5BA4CE1D" w14:textId="77777777" w:rsidR="00B630CC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Abbiamo proseguito la somministrazione 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dei pazienti n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ello studio IGNITE DMD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con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SGT-001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ottenuto attraverso il processo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di produzione ottimizzato da So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lid 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e applicando il protocollo clinico modificato pianificato per aumentare la sicurezza dei pazienti. Come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precedentemente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condiviso, il Paziente 7 è stato trattato in assenza di problematiche di si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curezza e continua a stare bene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. Abbiamo trattato l’ottavo paziente che ha manifest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ato una risposta infiammatoria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classificata come un evento avverso grave (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serious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adverse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event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- SAE)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e ritenuta dagli sperimenta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to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ri come </w:t>
      </w:r>
      <w:proofErr w:type="gramStart"/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legata al trattamento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.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E’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importante notare che questo SAE era descritto 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nella nostra brochure sperimentale e non 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era considerata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inattes</w:t>
      </w:r>
      <w:r w:rsidR="00826839" w:rsidRPr="00335082">
        <w:rPr>
          <w:rFonts w:asciiTheme="majorHAnsi" w:hAnsiTheme="majorHAnsi" w:cs="Times New Roman"/>
          <w:spacing w:val="2"/>
          <w:szCs w:val="19"/>
          <w:lang w:eastAsia="it-IT"/>
        </w:rPr>
        <w:t>a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. Siamo lieti di condividere che il paziente è a casa con la sua famiglia e continua a migliorare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mostrando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parametri di laboratorio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tornati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nella normalità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o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che </w:t>
      </w:r>
      <w:proofErr w:type="gramStart"/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>continuano</w:t>
      </w:r>
      <w:proofErr w:type="gramEnd"/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ad anda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re verso questa direzione nella</w:t>
      </w:r>
      <w:r w:rsidR="00B630C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sua visita al 30esimo giorno post-somministrazione</w:t>
      </w:r>
      <w:r w:rsidR="00C01A32" w:rsidRPr="00335082">
        <w:rPr>
          <w:rFonts w:asciiTheme="majorHAnsi" w:hAnsiTheme="majorHAnsi" w:cs="Times New Roman"/>
          <w:spacing w:val="2"/>
          <w:szCs w:val="19"/>
          <w:lang w:eastAsia="it-IT"/>
        </w:rPr>
        <w:t>.</w:t>
      </w:r>
    </w:p>
    <w:p w14:paraId="5C8412A3" w14:textId="77777777" w:rsidR="00C01A32" w:rsidRPr="00335082" w:rsidRDefault="00B630CC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Come previsto dalla nostra strategia di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mitigazione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clinica,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la situazione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di entrambi i pazienti trattati </w:t>
      </w:r>
      <w:r w:rsidR="00743563" w:rsidRPr="00335082">
        <w:rPr>
          <w:rFonts w:asciiTheme="majorHAnsi" w:hAnsiTheme="majorHAnsi" w:cs="Times New Roman"/>
          <w:spacing w:val="2"/>
          <w:szCs w:val="19"/>
          <w:lang w:eastAsia="it-IT"/>
        </w:rPr>
        <w:t>applicando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il protocollo modificato è stata condivisa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con il nostro comitato di monitoraggio dei dati di sicurezza (Data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Safety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Monitoring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Board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- DSMB)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e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con la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Food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and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Drug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Administration (FDA). Stiamo esaminando attentamente tutti i dettagli del decorso clinico di questi pazienti e continuiamo il nostro confronto con entrambi. Da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sottolineare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="008E6D00" w:rsidRPr="00335082">
        <w:rPr>
          <w:rFonts w:asciiTheme="majorHAnsi" w:hAnsiTheme="majorHAnsi" w:cs="Times New Roman"/>
          <w:spacing w:val="2"/>
          <w:szCs w:val="19"/>
          <w:lang w:eastAsia="it-IT"/>
        </w:rPr>
        <w:t>l’assenza di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nuove segnalazioni sulla sicurezza legate al trattamento </w:t>
      </w:r>
      <w:r w:rsidR="008E6D00" w:rsidRPr="00335082">
        <w:rPr>
          <w:rFonts w:asciiTheme="majorHAnsi" w:hAnsiTheme="majorHAnsi" w:cs="Times New Roman"/>
          <w:spacing w:val="2"/>
          <w:szCs w:val="19"/>
          <w:lang w:eastAsia="it-IT"/>
        </w:rPr>
        <w:t>nei pazienti dall’1 al 6 che sono in un periodo di post somministrazion</w:t>
      </w:r>
      <w:r w:rsidR="00C01A32" w:rsidRPr="00335082">
        <w:rPr>
          <w:rFonts w:asciiTheme="majorHAnsi" w:hAnsiTheme="majorHAnsi" w:cs="Times New Roman"/>
          <w:spacing w:val="2"/>
          <w:szCs w:val="19"/>
          <w:lang w:eastAsia="it-IT"/>
        </w:rPr>
        <w:t>e che va da 1,5 a più di 3 anni</w:t>
      </w:r>
      <w:r w:rsidR="00684515" w:rsidRPr="00335082">
        <w:rPr>
          <w:rFonts w:asciiTheme="majorHAnsi" w:hAnsiTheme="majorHAnsi" w:cs="Times New Roman"/>
          <w:i/>
          <w:spacing w:val="2"/>
          <w:szCs w:val="19"/>
          <w:lang w:eastAsia="it-IT"/>
        </w:rPr>
        <w:t>.</w:t>
      </w:r>
    </w:p>
    <w:p w14:paraId="51CBEAD4" w14:textId="77777777" w:rsidR="00684515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16FCAB46" w14:textId="77777777" w:rsidR="008E6D00" w:rsidRPr="00335082" w:rsidRDefault="008E6D00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lang w:eastAsia="it-IT"/>
        </w:rPr>
      </w:pPr>
      <w:r w:rsidRPr="00335082">
        <w:rPr>
          <w:rFonts w:asciiTheme="majorHAnsi" w:hAnsiTheme="majorHAnsi" w:cs="Times New Roman"/>
          <w:spacing w:val="2"/>
          <w:lang w:eastAsia="it-IT"/>
        </w:rPr>
        <w:t xml:space="preserve">Aggiornamento sui dati delle biopsie a lungo termine di IGNITE DMD </w:t>
      </w:r>
    </w:p>
    <w:p w14:paraId="76435140" w14:textId="77777777" w:rsidR="008E6D00" w:rsidRPr="00335082" w:rsidRDefault="008E6D00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lang w:eastAsia="it-IT"/>
        </w:rPr>
        <w:t xml:space="preserve">Siamo entusiasti di condividere i dati sulle biopsie a lungo termine provenienti dai pazienti 4-6 trattati con il dosaggio di 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2E14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vg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/kg nella conference call odierna e durante il meeting annuale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della 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American Society for Gene &amp; Cell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Therapy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(ASGCT) questo pomeriggio. Le analisi d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>i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ago biopsi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e eseguite rispettivamente </w:t>
      </w:r>
      <w:proofErr w:type="gramStart"/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2</w:t>
      </w:r>
      <w:proofErr w:type="gramEnd"/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, 1.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5 e 1 anno 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dopo la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somministrazione indicano un’espressione duratura e diffusa della proteina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microdistrofina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. I risultati a lungo termine sono 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coerenti 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con i dati a </w:t>
      </w:r>
      <w:proofErr w:type="gramStart"/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90</w:t>
      </w:r>
      <w:proofErr w:type="gramEnd"/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giorni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="00A33A44" w:rsidRPr="00335082">
        <w:rPr>
          <w:rFonts w:asciiTheme="majorHAnsi" w:hAnsiTheme="majorHAnsi" w:cs="Times New Roman"/>
          <w:spacing w:val="2"/>
          <w:szCs w:val="19"/>
          <w:lang w:eastAsia="it-IT"/>
        </w:rPr>
        <w:t>diffusi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in precedenza e continuano a dimostrare la funzionalità della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microdistrofina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SGT-001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>,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come evidenziato da</w:t>
      </w:r>
      <w:r w:rsidR="007077E7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l reclutamento delle proteine </w:t>
      </w:r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>c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hiave associate alla </w:t>
      </w:r>
      <w:proofErr w:type="spellStart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distrofina</w:t>
      </w:r>
      <w:proofErr w:type="spellEnd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:</w:t>
      </w:r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il beta </w:t>
      </w:r>
      <w:proofErr w:type="spellStart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sarcoglicano</w:t>
      </w:r>
      <w:proofErr w:type="spellEnd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e la </w:t>
      </w:r>
      <w:proofErr w:type="spellStart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sin</w:t>
      </w:r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>tasi</w:t>
      </w:r>
      <w:proofErr w:type="spellEnd"/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neuronale dell’ossido nitrico (</w:t>
      </w:r>
      <w:proofErr w:type="spellStart"/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>nNOS</w:t>
      </w:r>
      <w:proofErr w:type="spellEnd"/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). I risultati delle biopsie muscolari a lungo termine sono stai analizzati con due metodi,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il </w:t>
      </w:r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western </w:t>
      </w:r>
      <w:proofErr w:type="spellStart"/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>blot</w:t>
      </w:r>
      <w:proofErr w:type="spellEnd"/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e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l’</w:t>
      </w:r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>immunofluorescenza (IF) e sono forniti nella tabella sottostante</w:t>
      </w:r>
      <w:r w:rsidR="00C01A32" w:rsidRPr="00335082">
        <w:rPr>
          <w:rFonts w:asciiTheme="majorHAnsi" w:hAnsiTheme="majorHAnsi" w:cs="Times New Roman"/>
          <w:spacing w:val="2"/>
          <w:szCs w:val="19"/>
          <w:lang w:eastAsia="it-IT"/>
        </w:rPr>
        <w:t>:</w:t>
      </w:r>
      <w:r w:rsidR="007E7254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</w:p>
    <w:p w14:paraId="0F9106A1" w14:textId="77777777" w:rsidR="00684515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690"/>
        <w:gridCol w:w="1515"/>
        <w:gridCol w:w="1695"/>
        <w:gridCol w:w="1671"/>
        <w:gridCol w:w="1817"/>
      </w:tblGrid>
      <w:tr w:rsidR="00684515" w:rsidRPr="00335082" w14:paraId="744FD8AE" w14:textId="77777777">
        <w:trPr>
          <w:tblCellSpacing w:w="15" w:type="dxa"/>
        </w:trPr>
        <w:tc>
          <w:tcPr>
            <w:tcW w:w="174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49B80410" w14:textId="77777777" w:rsidR="00684515" w:rsidRPr="00335082" w:rsidRDefault="007E7254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Paziente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3380AEC8" w14:textId="77777777" w:rsidR="00684515" w:rsidRPr="00335082" w:rsidRDefault="007E7254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Ultimo</w:t>
            </w:r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 </w:t>
            </w:r>
            <w:proofErr w:type="spellStart"/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>Timepoint</w:t>
            </w:r>
            <w:proofErr w:type="spellEnd"/>
          </w:p>
        </w:tc>
        <w:tc>
          <w:tcPr>
            <w:tcW w:w="4400" w:type="dxa"/>
            <w:gridSpan w:val="2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6ABE07BE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Western </w:t>
            </w:r>
            <w:proofErr w:type="spell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Blot</w:t>
            </w:r>
            <w:proofErr w:type="spellEnd"/>
          </w:p>
        </w:tc>
        <w:tc>
          <w:tcPr>
            <w:tcW w:w="4400" w:type="dxa"/>
            <w:gridSpan w:val="2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173C031B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Immunofluorescen</w:t>
            </w:r>
            <w:r w:rsidR="007E7254" w:rsidRPr="00335082">
              <w:rPr>
                <w:rFonts w:asciiTheme="majorHAnsi" w:hAnsiTheme="majorHAnsi" w:cs="Times New Roman"/>
                <w:szCs w:val="20"/>
                <w:lang w:eastAsia="it-IT"/>
              </w:rPr>
              <w:t>za</w:t>
            </w:r>
            <w:proofErr w:type="gram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(</w:t>
            </w:r>
            <w:proofErr w:type="gramEnd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% </w:t>
            </w:r>
            <w:r w:rsidR="007E7254"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Fibre </w:t>
            </w: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Positive)</w:t>
            </w:r>
          </w:p>
        </w:tc>
      </w:tr>
      <w:tr w:rsidR="00684515" w:rsidRPr="00335082" w14:paraId="3E25D5A3" w14:textId="77777777">
        <w:trPr>
          <w:tblCellSpacing w:w="15" w:type="dxa"/>
        </w:trPr>
        <w:tc>
          <w:tcPr>
            <w:tcW w:w="174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36387C0E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2FFBEDD8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/>
                <w:szCs w:val="20"/>
                <w:lang w:eastAsia="it-IT"/>
              </w:rPr>
            </w:pP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6EE03941" w14:textId="77777777" w:rsidR="00684515" w:rsidRPr="00335082" w:rsidRDefault="007E7254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proofErr w:type="gram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giorno</w:t>
            </w:r>
            <w:proofErr w:type="gramEnd"/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 90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2B015EE3" w14:textId="77777777" w:rsidR="00684515" w:rsidRPr="00335082" w:rsidRDefault="007E7254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Ultimo</w:t>
            </w:r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 </w:t>
            </w:r>
            <w:proofErr w:type="spellStart"/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>Timepoint</w:t>
            </w:r>
            <w:proofErr w:type="spellEnd"/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6EA1F012" w14:textId="77777777" w:rsidR="00684515" w:rsidRPr="00335082" w:rsidRDefault="007E7254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proofErr w:type="gram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giorno</w:t>
            </w:r>
            <w:proofErr w:type="gramEnd"/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 90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5583D8ED" w14:textId="77777777" w:rsidR="00684515" w:rsidRPr="00335082" w:rsidRDefault="007E7254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proofErr w:type="gram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ultimo</w:t>
            </w:r>
            <w:proofErr w:type="gramEnd"/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 </w:t>
            </w:r>
            <w:proofErr w:type="spellStart"/>
            <w:r w:rsidR="00684515" w:rsidRPr="00335082">
              <w:rPr>
                <w:rFonts w:asciiTheme="majorHAnsi" w:hAnsiTheme="majorHAnsi" w:cs="Times New Roman"/>
                <w:szCs w:val="20"/>
                <w:lang w:eastAsia="it-IT"/>
              </w:rPr>
              <w:t>Timepoint</w:t>
            </w:r>
            <w:proofErr w:type="spellEnd"/>
          </w:p>
        </w:tc>
      </w:tr>
      <w:tr w:rsidR="00684515" w:rsidRPr="00335082" w14:paraId="5BD11666" w14:textId="77777777">
        <w:trPr>
          <w:tblCellSpacing w:w="15" w:type="dxa"/>
        </w:trPr>
        <w:tc>
          <w:tcPr>
            <w:tcW w:w="174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4C81AA60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proofErr w:type="spell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lastRenderedPageBreak/>
              <w:t>Pt</w:t>
            </w:r>
            <w:proofErr w:type="spellEnd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. 4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25720EC0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24 </w:t>
            </w:r>
            <w:r w:rsidR="00343906" w:rsidRPr="00335082">
              <w:rPr>
                <w:rFonts w:asciiTheme="majorHAnsi" w:hAnsiTheme="majorHAnsi" w:cs="Times New Roman"/>
                <w:szCs w:val="20"/>
                <w:lang w:eastAsia="it-IT"/>
              </w:rPr>
              <w:t>mesi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23ACA87B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BLQ*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31C82A29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BLQ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67063890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10-20%</w:t>
            </w:r>
          </w:p>
        </w:tc>
        <w:tc>
          <w:tcPr>
            <w:tcW w:w="2180" w:type="dxa"/>
            <w:shd w:val="clear" w:color="auto" w:fill="646464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74B4EC10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10-30%</w:t>
            </w:r>
          </w:p>
        </w:tc>
      </w:tr>
      <w:tr w:rsidR="00684515" w:rsidRPr="00335082" w14:paraId="2C5B2F64" w14:textId="77777777">
        <w:trPr>
          <w:tblCellSpacing w:w="15" w:type="dxa"/>
        </w:trPr>
        <w:tc>
          <w:tcPr>
            <w:tcW w:w="174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7F55392B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proofErr w:type="spell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Pt</w:t>
            </w:r>
            <w:proofErr w:type="spellEnd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. 5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037F18F7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18 </w:t>
            </w:r>
            <w:r w:rsidR="00343906" w:rsidRPr="00335082">
              <w:rPr>
                <w:rFonts w:asciiTheme="majorHAnsi" w:hAnsiTheme="majorHAnsi" w:cs="Times New Roman"/>
                <w:szCs w:val="20"/>
                <w:lang w:eastAsia="it-IT"/>
              </w:rPr>
              <w:t>mesi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3DED7666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17.5%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59E40982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69.8%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1C4DB3FE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50-70%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6BFEE319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85%</w:t>
            </w:r>
          </w:p>
        </w:tc>
      </w:tr>
      <w:tr w:rsidR="00684515" w:rsidRPr="00335082" w14:paraId="7A21A37E" w14:textId="77777777">
        <w:trPr>
          <w:tblCellSpacing w:w="15" w:type="dxa"/>
        </w:trPr>
        <w:tc>
          <w:tcPr>
            <w:tcW w:w="174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4135EC2A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proofErr w:type="spellStart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Pt</w:t>
            </w:r>
            <w:proofErr w:type="spellEnd"/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. 6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4CB1E31F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 xml:space="preserve">12 </w:t>
            </w:r>
            <w:r w:rsidR="00343906" w:rsidRPr="00335082">
              <w:rPr>
                <w:rFonts w:asciiTheme="majorHAnsi" w:hAnsiTheme="majorHAnsi" w:cs="Times New Roman"/>
                <w:szCs w:val="20"/>
                <w:lang w:eastAsia="it-IT"/>
              </w:rPr>
              <w:t>mesi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5F62EA43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8.0%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70C1E98C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20.3%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5A299E90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50-70%</w:t>
            </w:r>
          </w:p>
        </w:tc>
        <w:tc>
          <w:tcPr>
            <w:tcW w:w="2180" w:type="dxa"/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14:paraId="09B4DA26" w14:textId="77777777" w:rsidR="00684515" w:rsidRPr="00335082" w:rsidRDefault="00684515" w:rsidP="00F4770B">
            <w:pPr>
              <w:spacing w:after="0"/>
              <w:jc w:val="both"/>
              <w:rPr>
                <w:rFonts w:asciiTheme="majorHAnsi" w:hAnsiTheme="majorHAnsi" w:cs="Times New Roman"/>
                <w:szCs w:val="20"/>
                <w:lang w:eastAsia="it-IT"/>
              </w:rPr>
            </w:pPr>
            <w:r w:rsidRPr="00335082">
              <w:rPr>
                <w:rFonts w:asciiTheme="majorHAnsi" w:hAnsiTheme="majorHAnsi" w:cs="Times New Roman"/>
                <w:szCs w:val="20"/>
                <w:lang w:eastAsia="it-IT"/>
              </w:rPr>
              <w:t>50-60%</w:t>
            </w:r>
          </w:p>
        </w:tc>
      </w:tr>
    </w:tbl>
    <w:p w14:paraId="778A01BF" w14:textId="77777777" w:rsidR="00C01A32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i/>
          <w:spacing w:val="2"/>
          <w:lang w:eastAsia="it-IT"/>
        </w:rPr>
      </w:pPr>
      <w:r w:rsidRPr="00335082">
        <w:rPr>
          <w:rFonts w:asciiTheme="majorHAnsi" w:hAnsiTheme="majorHAnsi" w:cs="Times New Roman"/>
          <w:i/>
          <w:spacing w:val="2"/>
          <w:lang w:eastAsia="it-IT"/>
        </w:rPr>
        <w:t>*</w:t>
      </w:r>
      <w:r w:rsidR="007E7254" w:rsidRPr="00335082">
        <w:rPr>
          <w:rFonts w:asciiTheme="majorHAnsi" w:hAnsiTheme="majorHAnsi" w:cs="Times New Roman"/>
          <w:i/>
          <w:spacing w:val="2"/>
          <w:lang w:eastAsia="it-IT"/>
        </w:rPr>
        <w:t xml:space="preserve">inferiore </w:t>
      </w:r>
      <w:proofErr w:type="gramStart"/>
      <w:r w:rsidR="007E7254" w:rsidRPr="00335082">
        <w:rPr>
          <w:rFonts w:asciiTheme="majorHAnsi" w:hAnsiTheme="majorHAnsi" w:cs="Times New Roman"/>
          <w:i/>
          <w:spacing w:val="2"/>
          <w:lang w:eastAsia="it-IT"/>
        </w:rPr>
        <w:t>al limite</w:t>
      </w:r>
      <w:proofErr w:type="gramEnd"/>
      <w:r w:rsidR="007E7254" w:rsidRPr="00335082">
        <w:rPr>
          <w:rFonts w:asciiTheme="majorHAnsi" w:hAnsiTheme="majorHAnsi" w:cs="Times New Roman"/>
          <w:i/>
          <w:spacing w:val="2"/>
          <w:lang w:eastAsia="it-IT"/>
        </w:rPr>
        <w:t xml:space="preserve"> di quantificazione</w:t>
      </w:r>
    </w:p>
    <w:p w14:paraId="0471E8A9" w14:textId="77777777" w:rsidR="00684515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20F76101" w14:textId="77777777" w:rsidR="007E7254" w:rsidRPr="00335082" w:rsidRDefault="007E7254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in sintesi, i dati del western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blot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indicano che l’espressione è stata mantenuta nel paziente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4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ed è aumentata rispetto a quanto rilevato nelle biopsie a 90 giorni nei pazienti 5 e 6. I dati di IF mostrano la funzione della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microdistrofina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attraverso la continua localizzazione sulla membrana muscolare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>,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indicando una percentuale di fibre positive alla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distrofina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confrontabile con quella rilevata nelle biopsie a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90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giorni in tutti e tre i pazienti. </w:t>
      </w:r>
    </w:p>
    <w:p w14:paraId="4D513363" w14:textId="77777777" w:rsidR="007E7254" w:rsidRPr="00335082" w:rsidRDefault="007E7254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Ulteriori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analisi delle biopsie muscolari indicano che l’espressione e la funzione sostenuta della proteina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microdistrofina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="007966C8" w:rsidRPr="00335082">
        <w:rPr>
          <w:rFonts w:asciiTheme="majorHAnsi" w:hAnsiTheme="majorHAnsi" w:cs="Times New Roman"/>
          <w:spacing w:val="2"/>
          <w:szCs w:val="19"/>
          <w:lang w:eastAsia="it-IT"/>
        </w:rPr>
        <w:t>sono risultate nella stabilizzazione della membrana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>,</w:t>
      </w:r>
      <w:r w:rsidR="007966C8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evidenziata da una progressione minima del deterioramento muscolare dal giorno 90.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Questi</w:t>
      </w:r>
      <w:r w:rsidR="007966C8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miglioramenti a lungo termine sono potenzialmente a supporto dei trend positivi recentemente riportati nei </w:t>
      </w:r>
      <w:proofErr w:type="spellStart"/>
      <w:r w:rsidR="007966C8" w:rsidRPr="00335082">
        <w:rPr>
          <w:rFonts w:asciiTheme="majorHAnsi" w:hAnsiTheme="majorHAnsi" w:cs="Times New Roman"/>
          <w:spacing w:val="2"/>
          <w:szCs w:val="19"/>
          <w:lang w:eastAsia="it-IT"/>
        </w:rPr>
        <w:t>biomarcatori</w:t>
      </w:r>
      <w:proofErr w:type="spellEnd"/>
      <w:r w:rsidR="007966C8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clinici e nei dati funzionali provenienti dallo studio clinico IGNITE DMD</w:t>
      </w:r>
      <w:r w:rsidR="00C01A32" w:rsidRPr="00335082">
        <w:rPr>
          <w:rFonts w:asciiTheme="majorHAnsi" w:hAnsiTheme="majorHAnsi" w:cs="Times New Roman"/>
          <w:spacing w:val="2"/>
          <w:szCs w:val="19"/>
          <w:lang w:eastAsia="it-IT"/>
        </w:rPr>
        <w:t>.</w:t>
      </w:r>
    </w:p>
    <w:p w14:paraId="3F2D3681" w14:textId="77777777" w:rsidR="007966C8" w:rsidRPr="00335082" w:rsidRDefault="007966C8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4490CF06" w14:textId="77777777" w:rsidR="007966C8" w:rsidRPr="00335082" w:rsidRDefault="007966C8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Aggiornamento sulla Pipeline</w:t>
      </w:r>
    </w:p>
    <w:p w14:paraId="0263030F" w14:textId="77777777" w:rsidR="00684515" w:rsidRPr="00335082" w:rsidRDefault="007966C8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Oggi abbiamo annunciato l’avanzamento di un programma 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di trasferimento genico con la </w:t>
      </w:r>
      <w:proofErr w:type="spellStart"/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>microdistrofina</w:t>
      </w:r>
      <w:proofErr w:type="spellEnd"/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di nuova generazione per la DMD, SGT-003. Questo programma 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è un candidato preclinico sviluppato internamente che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sfrutta le competenze di So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>lid nella terapia genica e nella biologia muscolare. I dati presentati a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l meeting ASGCT dimostrano che S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olid ha sviluppato con successo una </w:t>
      </w:r>
      <w:proofErr w:type="spellStart"/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>library</w:t>
      </w:r>
      <w:proofErr w:type="spellEnd"/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di nuovi capsidi che mostrano</w:t>
      </w:r>
      <w:r w:rsidR="00F9217D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un tropismo muscolare maggiore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, una minore </w:t>
      </w:r>
      <w:proofErr w:type="spellStart"/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>biodistribuzione</w:t>
      </w:r>
      <w:proofErr w:type="spellEnd"/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nel fegato e che permettono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un’effici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>enza maggiore rispetto a</w:t>
      </w:r>
      <w:r w:rsidR="00343906" w:rsidRPr="00335082">
        <w:rPr>
          <w:rFonts w:asciiTheme="majorHAnsi" w:hAnsiTheme="majorHAnsi" w:cs="Times New Roman"/>
          <w:spacing w:val="2"/>
          <w:szCs w:val="19"/>
          <w:lang w:eastAsia="it-IT"/>
        </w:rPr>
        <w:t>d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AAV9. SGT-003 è un candidato preclinico che combina un </w:t>
      </w:r>
      <w:r w:rsidR="00F206F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nuovo 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capside </w:t>
      </w:r>
      <w:r w:rsidR="00F206F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candidato razionalmente 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>disegnato</w:t>
      </w:r>
      <w:r w:rsidR="00F206F3" w:rsidRPr="00335082">
        <w:rPr>
          <w:rFonts w:asciiTheme="majorHAnsi" w:hAnsiTheme="majorHAnsi" w:cs="Times New Roman"/>
          <w:spacing w:val="2"/>
          <w:szCs w:val="19"/>
          <w:lang w:eastAsia="it-IT"/>
        </w:rPr>
        <w:t>,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con la </w:t>
      </w:r>
      <w:proofErr w:type="spellStart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>microdistrofina</w:t>
      </w:r>
      <w:proofErr w:type="spellEnd"/>
      <w:r w:rsidR="000D1383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di So</w:t>
      </w:r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lid che include il sito di legame per </w:t>
      </w:r>
      <w:proofErr w:type="spellStart"/>
      <w:proofErr w:type="gramStart"/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>nNOS</w:t>
      </w:r>
      <w:proofErr w:type="spellEnd"/>
      <w:proofErr w:type="gramEnd"/>
      <w:r w:rsidR="005F56CF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</w:p>
    <w:p w14:paraId="2B78FCD0" w14:textId="77777777" w:rsidR="000D1383" w:rsidRPr="00335082" w:rsidRDefault="000D1383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5B879167" w14:textId="77777777" w:rsidR="000D1383" w:rsidRPr="00335082" w:rsidRDefault="000D1383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Informazioni sulla Conference call</w:t>
      </w:r>
    </w:p>
    <w:p w14:paraId="7AE20517" w14:textId="77777777" w:rsidR="003B3A4C" w:rsidRPr="00335082" w:rsidRDefault="000D1383" w:rsidP="00F4770B">
      <w:pPr>
        <w:spacing w:after="0" w:line="325" w:lineRule="atLeast"/>
        <w:jc w:val="both"/>
        <w:rPr>
          <w:rFonts w:asciiTheme="majorHAnsi" w:hAnsiTheme="majorHAnsi"/>
        </w:rPr>
      </w:pPr>
      <w:r w:rsidRPr="00335082">
        <w:rPr>
          <w:rFonts w:asciiTheme="majorHAnsi" w:hAnsiTheme="majorHAnsi" w:cs="Times New Roman"/>
          <w:i/>
          <w:spacing w:val="2"/>
          <w:lang w:eastAsia="it-IT"/>
        </w:rPr>
        <w:t xml:space="preserve">Oggi alle 8:30 </w:t>
      </w:r>
      <w:proofErr w:type="spellStart"/>
      <w:r w:rsidRPr="00335082">
        <w:rPr>
          <w:rFonts w:asciiTheme="majorHAnsi" w:hAnsiTheme="majorHAnsi" w:cs="Times New Roman"/>
          <w:i/>
          <w:spacing w:val="2"/>
          <w:lang w:eastAsia="it-IT"/>
        </w:rPr>
        <w:t>am</w:t>
      </w:r>
      <w:proofErr w:type="spellEnd"/>
      <w:r w:rsidRPr="00335082">
        <w:rPr>
          <w:rFonts w:asciiTheme="majorHAnsi" w:hAnsiTheme="majorHAnsi" w:cs="Times New Roman"/>
          <w:i/>
          <w:spacing w:val="2"/>
          <w:lang w:eastAsia="it-IT"/>
        </w:rPr>
        <w:t xml:space="preserve"> EST 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ci sarà una conference call per discutere l’aggiornamento del programma.</w:t>
      </w:r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Sarà possibile accedere a un </w:t>
      </w:r>
      <w:proofErr w:type="spellStart"/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>webcast</w:t>
      </w:r>
      <w:proofErr w:type="spellEnd"/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esclusivamente audio della conference call attraverso la sezione "</w:t>
      </w:r>
      <w:proofErr w:type="spellStart"/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>Investors</w:t>
      </w:r>
      <w:proofErr w:type="spellEnd"/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" nel sito web di Solid </w:t>
      </w:r>
      <w:proofErr w:type="spellStart"/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>Biosciences</w:t>
      </w:r>
      <w:proofErr w:type="spellEnd"/>
      <w:r w:rsidR="003B3A4C" w:rsidRPr="00335082">
        <w:rPr>
          <w:rFonts w:asciiTheme="majorHAnsi" w:hAnsiTheme="majorHAnsi" w:cs="Times New Roman"/>
          <w:spacing w:val="2"/>
          <w:szCs w:val="19"/>
          <w:lang w:eastAsia="it-IT"/>
        </w:rPr>
        <w:t>,</w:t>
      </w:r>
      <w:r w:rsidR="003B3A4C" w:rsidRPr="00335082">
        <w:rPr>
          <w:rFonts w:asciiTheme="majorHAnsi" w:hAnsiTheme="majorHAnsi" w:cs="Times New Roman"/>
          <w:spacing w:val="2"/>
          <w:lang w:eastAsia="it-IT"/>
        </w:rPr>
        <w:t> </w:t>
      </w:r>
      <w:hyperlink r:id="rId5" w:history="1">
        <w:r w:rsidR="003B3A4C" w:rsidRPr="00335082">
          <w:rPr>
            <w:rFonts w:asciiTheme="majorHAnsi" w:hAnsiTheme="majorHAnsi" w:cs="Times New Roman"/>
            <w:spacing w:val="2"/>
            <w:lang w:eastAsia="it-IT"/>
          </w:rPr>
          <w:t>www.solidbio.com</w:t>
        </w:r>
      </w:hyperlink>
      <w:r w:rsidR="003B3A4C" w:rsidRPr="00335082">
        <w:rPr>
          <w:rFonts w:asciiTheme="majorHAnsi" w:hAnsiTheme="majorHAnsi"/>
        </w:rPr>
        <w:t xml:space="preserve">, il replay della call sarà disponibile per circa 6 settimane dopo la call. </w:t>
      </w:r>
    </w:p>
    <w:p w14:paraId="4BEA3A0B" w14:textId="77777777" w:rsidR="000D1383" w:rsidRPr="00335082" w:rsidRDefault="000D1383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73C1870B" w14:textId="77777777" w:rsidR="00684515" w:rsidRPr="00335082" w:rsidRDefault="00AA1F00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Siamo molto incoraggiati dai dati delle biopsie a lungo termine raccolti finora e dal beneficio che </w:t>
      </w:r>
      <w:proofErr w:type="gram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speriamo</w:t>
      </w:r>
      <w:proofErr w:type="gram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porterà ai pazient</w:t>
      </w:r>
      <w:r w:rsidR="00F206F3" w:rsidRPr="00335082">
        <w:rPr>
          <w:rFonts w:asciiTheme="majorHAnsi" w:hAnsiTheme="majorHAnsi" w:cs="Times New Roman"/>
          <w:spacing w:val="2"/>
          <w:szCs w:val="19"/>
          <w:lang w:eastAsia="it-IT"/>
        </w:rPr>
        <w:t>i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che sono stati trattati con SGT-001. Siamo impazienti di fornire un aggiornamento sullo status dello screening e del reclutamento nello studio clinico IGNITE DMD. </w:t>
      </w:r>
    </w:p>
    <w:p w14:paraId="6266A309" w14:textId="77777777" w:rsidR="00684515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16897BCB" w14:textId="77777777" w:rsidR="00684515" w:rsidRPr="00335082" w:rsidRDefault="00684515" w:rsidP="00F4770B">
      <w:pPr>
        <w:spacing w:after="0" w:line="325" w:lineRule="atLeast"/>
        <w:jc w:val="both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#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TogetherWeAreSolid</w:t>
      </w:r>
      <w:proofErr w:type="spellEnd"/>
    </w:p>
    <w:p w14:paraId="335EE753" w14:textId="77777777" w:rsidR="00335082" w:rsidRDefault="00684515" w:rsidP="00F4770B">
      <w:pPr>
        <w:spacing w:after="0" w:line="325" w:lineRule="atLeast"/>
        <w:rPr>
          <w:rFonts w:asciiTheme="majorHAnsi" w:hAnsiTheme="majorHAnsi" w:cs="Times New Roman"/>
          <w:spacing w:val="2"/>
          <w:szCs w:val="19"/>
          <w:lang w:eastAsia="it-IT"/>
        </w:rPr>
      </w:pP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br/>
      </w:r>
      <w:r w:rsidR="00F4770B">
        <w:rPr>
          <w:rFonts w:asciiTheme="majorHAnsi" w:hAnsiTheme="majorHAnsi" w:cs="Times New Roman"/>
          <w:spacing w:val="2"/>
          <w:szCs w:val="19"/>
          <w:lang w:eastAsia="it-IT"/>
        </w:rPr>
        <w:t xml:space="preserve">Con </w:t>
      </w:r>
      <w:r w:rsidR="00C01A32" w:rsidRPr="00335082">
        <w:rPr>
          <w:rFonts w:asciiTheme="majorHAnsi" w:hAnsiTheme="majorHAnsi" w:cs="Times New Roman"/>
          <w:spacing w:val="2"/>
          <w:szCs w:val="19"/>
          <w:lang w:eastAsia="it-IT"/>
        </w:rPr>
        <w:t>affetto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,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br/>
      </w:r>
      <w:r w:rsidR="00C01A32" w:rsidRPr="00335082">
        <w:rPr>
          <w:rFonts w:asciiTheme="majorHAnsi" w:hAnsiTheme="majorHAnsi" w:cs="Times New Roman"/>
          <w:spacing w:val="2"/>
          <w:szCs w:val="19"/>
          <w:lang w:eastAsia="it-IT"/>
        </w:rPr>
        <w:t>Il vostro Team di</w:t>
      </w:r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Solid </w:t>
      </w:r>
      <w:proofErr w:type="spellStart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>Biosciences</w:t>
      </w:r>
      <w:proofErr w:type="spellEnd"/>
      <w:r w:rsidRPr="00335082">
        <w:rPr>
          <w:rFonts w:asciiTheme="majorHAnsi" w:hAnsiTheme="majorHAnsi" w:cs="Times New Roman"/>
          <w:spacing w:val="2"/>
          <w:szCs w:val="19"/>
          <w:lang w:eastAsia="it-IT"/>
        </w:rPr>
        <w:t xml:space="preserve"> </w:t>
      </w:r>
    </w:p>
    <w:p w14:paraId="5ADD270E" w14:textId="77777777" w:rsidR="007C1524" w:rsidRDefault="007C1524" w:rsidP="00F4770B">
      <w:pPr>
        <w:spacing w:after="0" w:line="325" w:lineRule="atLeast"/>
        <w:rPr>
          <w:rFonts w:asciiTheme="majorHAnsi" w:hAnsiTheme="majorHAnsi" w:cs="Times New Roman"/>
          <w:spacing w:val="2"/>
          <w:szCs w:val="19"/>
          <w:lang w:eastAsia="it-IT"/>
        </w:rPr>
      </w:pPr>
    </w:p>
    <w:p w14:paraId="71301DFF" w14:textId="77777777" w:rsidR="00684515" w:rsidRDefault="00335082" w:rsidP="00F4770B">
      <w:pPr>
        <w:spacing w:after="0" w:line="325" w:lineRule="atLeast"/>
        <w:jc w:val="both"/>
        <w:rPr>
          <w:rFonts w:asciiTheme="majorHAnsi" w:hAnsiTheme="majorHAnsi" w:cs="Times New Roman"/>
          <w:i/>
          <w:spacing w:val="2"/>
          <w:szCs w:val="19"/>
          <w:lang w:eastAsia="it-IT"/>
        </w:rPr>
      </w:pPr>
      <w:r w:rsidRPr="00F4770B">
        <w:rPr>
          <w:rFonts w:asciiTheme="majorHAnsi" w:hAnsiTheme="majorHAnsi" w:cs="Times New Roman"/>
          <w:i/>
          <w:spacing w:val="2"/>
          <w:szCs w:val="19"/>
          <w:lang w:eastAsia="it-IT"/>
        </w:rPr>
        <w:t xml:space="preserve">Traduzione a cura dell’Ufficio Scientifico di Parent Project </w:t>
      </w:r>
      <w:proofErr w:type="spellStart"/>
      <w:r w:rsidRPr="00F4770B">
        <w:rPr>
          <w:rFonts w:asciiTheme="majorHAnsi" w:hAnsiTheme="majorHAnsi" w:cs="Times New Roman"/>
          <w:i/>
          <w:spacing w:val="2"/>
          <w:szCs w:val="19"/>
          <w:lang w:eastAsia="it-IT"/>
        </w:rPr>
        <w:t>aps</w:t>
      </w:r>
      <w:proofErr w:type="spellEnd"/>
    </w:p>
    <w:p w14:paraId="5DFBBEA4" w14:textId="77777777" w:rsidR="007C1524" w:rsidRPr="00F4770B" w:rsidRDefault="007C1524" w:rsidP="00F4770B">
      <w:pPr>
        <w:spacing w:after="0" w:line="325" w:lineRule="atLeast"/>
        <w:jc w:val="both"/>
        <w:rPr>
          <w:rFonts w:asciiTheme="majorHAnsi" w:hAnsiTheme="majorHAnsi" w:cs="Times New Roman"/>
          <w:i/>
          <w:spacing w:val="2"/>
          <w:szCs w:val="19"/>
          <w:lang w:eastAsia="it-IT"/>
        </w:rPr>
      </w:pPr>
      <w:r>
        <w:rPr>
          <w:rFonts w:asciiTheme="majorHAnsi" w:hAnsiTheme="majorHAnsi" w:cs="Times New Roman"/>
          <w:i/>
          <w:spacing w:val="2"/>
          <w:szCs w:val="19"/>
          <w:lang w:eastAsia="it-IT"/>
        </w:rPr>
        <w:lastRenderedPageBreak/>
        <w:t>Potete leggere la lettera inviata da Solid al seguente link (</w:t>
      </w:r>
      <w:r w:rsidRPr="007C1524">
        <w:rPr>
          <w:rFonts w:asciiTheme="majorHAnsi" w:hAnsiTheme="majorHAnsi" w:cs="Times New Roman"/>
          <w:i/>
          <w:spacing w:val="2"/>
          <w:szCs w:val="19"/>
          <w:lang w:eastAsia="it-IT"/>
        </w:rPr>
        <w:t>https://www.solidbio.com/about/media/news/letter-to-the-duchenne-community-ignite-dmd-phase-i-ii-clinical-trial-and-pipeline-update</w:t>
      </w:r>
      <w:r>
        <w:rPr>
          <w:rFonts w:asciiTheme="majorHAnsi" w:hAnsiTheme="majorHAnsi" w:cs="Times New Roman"/>
          <w:i/>
          <w:spacing w:val="2"/>
          <w:szCs w:val="19"/>
          <w:lang w:eastAsia="it-IT"/>
        </w:rPr>
        <w:t>)</w:t>
      </w:r>
      <w:bookmarkStart w:id="0" w:name="_GoBack"/>
      <w:bookmarkEnd w:id="0"/>
    </w:p>
    <w:p w14:paraId="1DCD6EED" w14:textId="77777777" w:rsidR="00684515" w:rsidRDefault="00684515"/>
    <w:sectPr w:rsidR="00684515" w:rsidSect="0068451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laria Zito">
    <w15:presenceInfo w15:providerId="Windows Live" w15:userId="26e7b78ce98b0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684515"/>
    <w:rsid w:val="000D1383"/>
    <w:rsid w:val="00335082"/>
    <w:rsid w:val="00343906"/>
    <w:rsid w:val="003B3A4C"/>
    <w:rsid w:val="005177F3"/>
    <w:rsid w:val="005F56CF"/>
    <w:rsid w:val="00684515"/>
    <w:rsid w:val="006969E8"/>
    <w:rsid w:val="007077E7"/>
    <w:rsid w:val="00743563"/>
    <w:rsid w:val="007966C8"/>
    <w:rsid w:val="007C1524"/>
    <w:rsid w:val="007E7254"/>
    <w:rsid w:val="00826839"/>
    <w:rsid w:val="008A76B1"/>
    <w:rsid w:val="008E6D00"/>
    <w:rsid w:val="00A25F0B"/>
    <w:rsid w:val="00A33A44"/>
    <w:rsid w:val="00A75DB7"/>
    <w:rsid w:val="00AA1F00"/>
    <w:rsid w:val="00AD7C76"/>
    <w:rsid w:val="00AE76AB"/>
    <w:rsid w:val="00B630CC"/>
    <w:rsid w:val="00C01A32"/>
    <w:rsid w:val="00D2717D"/>
    <w:rsid w:val="00D33EDF"/>
    <w:rsid w:val="00DB68C7"/>
    <w:rsid w:val="00EE72D6"/>
    <w:rsid w:val="00F206F3"/>
    <w:rsid w:val="00F4770B"/>
    <w:rsid w:val="00F71F8C"/>
    <w:rsid w:val="00F921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AE5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59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684515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rsid w:val="00684515"/>
    <w:rPr>
      <w:b/>
    </w:rPr>
  </w:style>
  <w:style w:type="character" w:styleId="Enfasicorsivo">
    <w:name w:val="Emphasis"/>
    <w:basedOn w:val="Caratterepredefinitoparagrafo"/>
    <w:uiPriority w:val="20"/>
    <w:rsid w:val="00684515"/>
    <w:rPr>
      <w:i/>
    </w:rPr>
  </w:style>
  <w:style w:type="character" w:customStyle="1" w:styleId="apple-converted-space">
    <w:name w:val="apple-converted-space"/>
    <w:basedOn w:val="Caratterepredefinitoparagrafo"/>
    <w:rsid w:val="00684515"/>
  </w:style>
  <w:style w:type="character" w:styleId="Collegamentoipertestuale">
    <w:name w:val="Hyperlink"/>
    <w:basedOn w:val="Caratterepredefinitoparagrafo"/>
    <w:uiPriority w:val="99"/>
    <w:rsid w:val="006845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268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olidbio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915</Words>
  <Characters>5217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IFO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Angelis</dc:creator>
  <cp:keywords/>
  <cp:lastModifiedBy>Fernanda De Angelis</cp:lastModifiedBy>
  <cp:revision>8</cp:revision>
  <dcterms:created xsi:type="dcterms:W3CDTF">2021-05-18T11:17:00Z</dcterms:created>
  <dcterms:modified xsi:type="dcterms:W3CDTF">2021-05-19T08:29:00Z</dcterms:modified>
</cp:coreProperties>
</file>